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5881" w14:textId="5348C0A1" w:rsidR="00817193" w:rsidRPr="00817193" w:rsidRDefault="00817193" w:rsidP="008171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193">
        <w:rPr>
          <w:rFonts w:ascii="Times New Roman" w:hAnsi="Times New Roman" w:cs="Times New Roman"/>
          <w:b/>
          <w:bCs/>
          <w:sz w:val="28"/>
          <w:szCs w:val="28"/>
        </w:rPr>
        <w:t xml:space="preserve">Schedule </w:t>
      </w:r>
      <w:r w:rsidR="002650DA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4E6E952C" w14:textId="5E7FF9B3" w:rsidR="00270F67" w:rsidRPr="00817193" w:rsidRDefault="00270F67" w:rsidP="00817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Amendments to Law Society of Nunavut Rules re </w:t>
      </w:r>
      <w:r w:rsidR="0095520D" w:rsidRPr="00817193">
        <w:rPr>
          <w:rFonts w:ascii="Times New Roman" w:hAnsi="Times New Roman" w:cs="Times New Roman"/>
          <w:b/>
          <w:bCs/>
          <w:sz w:val="24"/>
          <w:szCs w:val="24"/>
        </w:rPr>
        <w:t>Qu</w:t>
      </w:r>
      <w:r w:rsidR="00913C8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95520D" w:rsidRPr="00817193">
        <w:rPr>
          <w:rFonts w:ascii="Times New Roman" w:hAnsi="Times New Roman" w:cs="Times New Roman"/>
          <w:b/>
          <w:bCs/>
          <w:sz w:val="24"/>
          <w:szCs w:val="24"/>
        </w:rPr>
        <w:t>bec Mobility</w:t>
      </w:r>
    </w:p>
    <w:p w14:paraId="17824D2C" w14:textId="77777777" w:rsidR="00817193" w:rsidRPr="00817193" w:rsidRDefault="00817193" w:rsidP="008171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D9261" w14:textId="75EC6B41" w:rsidR="00817193" w:rsidRPr="00817193" w:rsidRDefault="00817193" w:rsidP="008171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19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81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Rules of the Law Society of Nunavut</w:t>
      </w: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are amended as set out in this Sc</w:t>
      </w:r>
      <w:r w:rsidR="00913C8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edule. </w:t>
      </w:r>
    </w:p>
    <w:p w14:paraId="08DD08F4" w14:textId="27A733EF" w:rsidR="00231B31" w:rsidRPr="00817193" w:rsidRDefault="00817193" w:rsidP="008171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77A56" w:rsidRPr="00817193">
        <w:rPr>
          <w:rFonts w:ascii="Times New Roman" w:hAnsi="Times New Roman" w:cs="Times New Roman"/>
          <w:b/>
          <w:bCs/>
          <w:sz w:val="24"/>
          <w:szCs w:val="24"/>
        </w:rPr>
        <w:t>Section 39.1 is amended</w:t>
      </w:r>
      <w:r w:rsidR="00231B31" w:rsidRPr="008171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157BC2" w14:textId="43B08423" w:rsidR="00C77A56" w:rsidRPr="00817193" w:rsidRDefault="00231B31" w:rsidP="00231B3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17193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C77A56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by deleting the definition of “reciprocating body”</w:t>
      </w:r>
      <w:r w:rsidRPr="0081719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06FE6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</w:p>
    <w:p w14:paraId="5601713A" w14:textId="09F413B8" w:rsidR="00231B31" w:rsidRPr="00817193" w:rsidRDefault="00231B31" w:rsidP="00231B3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CC6FFB" w:rsidRPr="00817193">
        <w:rPr>
          <w:rFonts w:ascii="Times New Roman" w:hAnsi="Times New Roman" w:cs="Times New Roman"/>
          <w:b/>
          <w:bCs/>
          <w:sz w:val="24"/>
          <w:szCs w:val="24"/>
        </w:rPr>
        <w:t>by striking out “2006” in the definition of “Territor</w:t>
      </w:r>
      <w:r w:rsidR="00306FE6" w:rsidRPr="00817193">
        <w:rPr>
          <w:rFonts w:ascii="Times New Roman" w:hAnsi="Times New Roman" w:cs="Times New Roman"/>
          <w:b/>
          <w:bCs/>
          <w:sz w:val="24"/>
          <w:szCs w:val="24"/>
        </w:rPr>
        <w:t>ial Mobility Agreement”.</w:t>
      </w:r>
    </w:p>
    <w:p w14:paraId="10327EE2" w14:textId="53A527F3" w:rsidR="002E6143" w:rsidRPr="00817193" w:rsidRDefault="00817193" w:rsidP="00C77A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7A56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6143" w:rsidRPr="00817193">
        <w:rPr>
          <w:rFonts w:ascii="Times New Roman" w:hAnsi="Times New Roman" w:cs="Times New Roman"/>
          <w:b/>
          <w:bCs/>
          <w:sz w:val="24"/>
          <w:szCs w:val="24"/>
        </w:rPr>
        <w:t>Subsection 39.3(1) is amended by striking out “reciprocating”.</w:t>
      </w:r>
    </w:p>
    <w:p w14:paraId="4F4727B5" w14:textId="7ED36B96" w:rsidR="00386EB1" w:rsidRPr="00817193" w:rsidRDefault="00817193" w:rsidP="00C77A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143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21E6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Section 39.5 is amended by </w:t>
      </w:r>
      <w:r w:rsidR="00386EB1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striking out “39.7” and substituting “39.6”. </w:t>
      </w:r>
    </w:p>
    <w:p w14:paraId="3D15F69B" w14:textId="2BBC679C" w:rsidR="003353BD" w:rsidRPr="00817193" w:rsidRDefault="00817193" w:rsidP="00C77A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333E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53BD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Sections 39.6, 39.7 and 39.8 are repealed and </w:t>
      </w:r>
      <w:r w:rsidR="00F178D7" w:rsidRPr="008171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353BD" w:rsidRPr="00817193">
        <w:rPr>
          <w:rFonts w:ascii="Times New Roman" w:hAnsi="Times New Roman" w:cs="Times New Roman"/>
          <w:b/>
          <w:bCs/>
          <w:sz w:val="24"/>
          <w:szCs w:val="24"/>
        </w:rPr>
        <w:t>he following substituted:</w:t>
      </w:r>
    </w:p>
    <w:p w14:paraId="44CBEF9B" w14:textId="465B714A" w:rsidR="003353BD" w:rsidRPr="00817193" w:rsidRDefault="003353BD" w:rsidP="00270F67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817193">
        <w:rPr>
          <w:rFonts w:ascii="Times New Roman" w:hAnsi="Times New Roman" w:cs="Times New Roman"/>
          <w:b/>
          <w:bCs/>
        </w:rPr>
        <w:t>Canadian legal advisor</w:t>
      </w:r>
    </w:p>
    <w:p w14:paraId="5EB3E31A" w14:textId="4846D21F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39.6(1) In this section, “Qu</w:t>
      </w:r>
      <w:r w:rsidR="00913C8D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 Mobility Agreement” means the 2010 Qu</w:t>
      </w:r>
      <w:r w:rsidR="008A4176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 Mobility Agreement of the Federation of Law Societies of Canada, as amended from time to time.</w:t>
      </w:r>
    </w:p>
    <w:p w14:paraId="7506E0F1" w14:textId="3F91A020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(2) This section is intended to implement the provisions of the 2010 Qu</w:t>
      </w:r>
      <w:r w:rsidR="008A4176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 Mobility Agreement and ceases to have effect on the expiry of that Agreement.</w:t>
      </w:r>
    </w:p>
    <w:p w14:paraId="52EB81CF" w14:textId="0B0BA86B" w:rsidR="00F178D7" w:rsidRPr="00817193" w:rsidRDefault="00F178D7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 xml:space="preserve">(3) A category of membership in the Society to be known as </w:t>
      </w:r>
      <w:r w:rsidR="00270F67" w:rsidRPr="00817193">
        <w:rPr>
          <w:rFonts w:ascii="Times New Roman" w:hAnsi="Times New Roman" w:cs="Times New Roman"/>
          <w:sz w:val="24"/>
          <w:szCs w:val="24"/>
        </w:rPr>
        <w:t xml:space="preserve">a “Canadian Legal Advisor” is hereby created with a </w:t>
      </w:r>
      <w:r w:rsidR="007F75C1" w:rsidRPr="00817193">
        <w:rPr>
          <w:rFonts w:ascii="Times New Roman" w:hAnsi="Times New Roman" w:cs="Times New Roman"/>
          <w:sz w:val="24"/>
          <w:szCs w:val="24"/>
        </w:rPr>
        <w:t xml:space="preserve">limited </w:t>
      </w:r>
      <w:r w:rsidR="00270F67" w:rsidRPr="00817193">
        <w:rPr>
          <w:rFonts w:ascii="Times New Roman" w:hAnsi="Times New Roman" w:cs="Times New Roman"/>
          <w:sz w:val="24"/>
          <w:szCs w:val="24"/>
        </w:rPr>
        <w:t>scope of practice as described in this section.</w:t>
      </w:r>
      <w:r w:rsidR="00270F67" w:rsidRPr="00817193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</w:p>
    <w:p w14:paraId="23F07DFB" w14:textId="3B732441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4</w:t>
      </w:r>
      <w:r w:rsidRPr="00817193">
        <w:rPr>
          <w:rFonts w:ascii="Times New Roman" w:hAnsi="Times New Roman" w:cs="Times New Roman"/>
          <w:sz w:val="24"/>
          <w:szCs w:val="24"/>
        </w:rPr>
        <w:t xml:space="preserve">) </w:t>
      </w:r>
      <w:r w:rsidR="00270F67" w:rsidRPr="00817193">
        <w:rPr>
          <w:rFonts w:ascii="Times New Roman" w:hAnsi="Times New Roman" w:cs="Times New Roman"/>
          <w:sz w:val="24"/>
          <w:szCs w:val="24"/>
        </w:rPr>
        <w:t xml:space="preserve">A </w:t>
      </w:r>
      <w:r w:rsidRPr="00817193">
        <w:rPr>
          <w:rFonts w:ascii="Times New Roman" w:hAnsi="Times New Roman" w:cs="Times New Roman"/>
          <w:sz w:val="24"/>
          <w:szCs w:val="24"/>
        </w:rPr>
        <w:t xml:space="preserve">member in good standing of the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notaires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du Québec, </w:t>
      </w:r>
      <w:r w:rsidR="00270F67" w:rsidRPr="00817193">
        <w:rPr>
          <w:rFonts w:ascii="Times New Roman" w:hAnsi="Times New Roman" w:cs="Times New Roman"/>
          <w:sz w:val="24"/>
          <w:szCs w:val="24"/>
        </w:rPr>
        <w:t>may apply</w:t>
      </w:r>
      <w:r w:rsidRPr="00817193">
        <w:rPr>
          <w:rFonts w:ascii="Times New Roman" w:hAnsi="Times New Roman" w:cs="Times New Roman"/>
          <w:sz w:val="24"/>
          <w:szCs w:val="24"/>
        </w:rPr>
        <w:t xml:space="preserve"> for a Canadian legal advisor certificate to appear or to act as a Canadian legal advisor.</w:t>
      </w:r>
    </w:p>
    <w:p w14:paraId="7D56C3D2" w14:textId="0202E68A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5</w:t>
      </w:r>
      <w:r w:rsidRPr="00817193">
        <w:rPr>
          <w:rFonts w:ascii="Times New Roman" w:hAnsi="Times New Roman" w:cs="Times New Roman"/>
          <w:sz w:val="24"/>
          <w:szCs w:val="24"/>
        </w:rPr>
        <w:t>) An applicant under this section shall furnish to the Secretary</w:t>
      </w:r>
      <w:r w:rsidR="008E2509" w:rsidRPr="00817193">
        <w:rPr>
          <w:rFonts w:ascii="Times New Roman" w:hAnsi="Times New Roman" w:cs="Times New Roman"/>
          <w:sz w:val="24"/>
          <w:szCs w:val="24"/>
        </w:rPr>
        <w:t>:</w:t>
      </w:r>
    </w:p>
    <w:p w14:paraId="04A33CC3" w14:textId="3194DA29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 xml:space="preserve">(a) the documents and payments listed in section </w:t>
      </w:r>
      <w:r w:rsidR="00BD7678" w:rsidRPr="00817193">
        <w:rPr>
          <w:rFonts w:ascii="Times New Roman" w:hAnsi="Times New Roman" w:cs="Times New Roman"/>
          <w:sz w:val="24"/>
          <w:szCs w:val="24"/>
        </w:rPr>
        <w:t>39</w:t>
      </w:r>
      <w:r w:rsidRPr="00817193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055EC6DB" w14:textId="3D7EC4DF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(b) an undertaking to comply with subsection (</w:t>
      </w:r>
      <w:r w:rsidR="007F75C1" w:rsidRPr="00817193">
        <w:rPr>
          <w:rFonts w:ascii="Times New Roman" w:hAnsi="Times New Roman" w:cs="Times New Roman"/>
          <w:sz w:val="24"/>
          <w:szCs w:val="24"/>
        </w:rPr>
        <w:t>7</w:t>
      </w:r>
      <w:r w:rsidRPr="00817193">
        <w:rPr>
          <w:rFonts w:ascii="Times New Roman" w:hAnsi="Times New Roman" w:cs="Times New Roman"/>
          <w:sz w:val="24"/>
          <w:szCs w:val="24"/>
        </w:rPr>
        <w:t>).</w:t>
      </w:r>
    </w:p>
    <w:p w14:paraId="26125043" w14:textId="71C9D149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6</w:t>
      </w:r>
      <w:r w:rsidRPr="00817193">
        <w:rPr>
          <w:rFonts w:ascii="Times New Roman" w:hAnsi="Times New Roman" w:cs="Times New Roman"/>
          <w:sz w:val="24"/>
          <w:szCs w:val="24"/>
        </w:rPr>
        <w:t>) A Canadian legal advisor may</w:t>
      </w:r>
      <w:r w:rsidR="00270F67" w:rsidRPr="00817193">
        <w:rPr>
          <w:rFonts w:ascii="Times New Roman" w:hAnsi="Times New Roman" w:cs="Times New Roman"/>
          <w:sz w:val="24"/>
          <w:szCs w:val="24"/>
        </w:rPr>
        <w:t>:</w:t>
      </w:r>
    </w:p>
    <w:p w14:paraId="279DE485" w14:textId="5FC709A4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(a) give legal advice on</w:t>
      </w:r>
      <w:r w:rsidR="00270F67" w:rsidRPr="00817193">
        <w:rPr>
          <w:rFonts w:ascii="Times New Roman" w:hAnsi="Times New Roman" w:cs="Times New Roman"/>
          <w:sz w:val="24"/>
          <w:szCs w:val="24"/>
        </w:rPr>
        <w:t>:</w:t>
      </w:r>
    </w:p>
    <w:p w14:paraId="6F549569" w14:textId="32BA1FFA" w:rsidR="003353BD" w:rsidRPr="00817193" w:rsidRDefault="003353BD" w:rsidP="00270F67">
      <w:pPr>
        <w:ind w:left="216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>) the law of Qu</w:t>
      </w:r>
      <w:r w:rsidR="008A4176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 and matters involving the law of Qu</w:t>
      </w:r>
      <w:r w:rsidR="008A4176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</w:t>
      </w:r>
      <w:r w:rsidR="00270F67" w:rsidRPr="00817193">
        <w:rPr>
          <w:rFonts w:ascii="Times New Roman" w:hAnsi="Times New Roman" w:cs="Times New Roman"/>
          <w:sz w:val="24"/>
          <w:szCs w:val="24"/>
        </w:rPr>
        <w:t>;</w:t>
      </w:r>
    </w:p>
    <w:p w14:paraId="1AF4C7D8" w14:textId="44120CFD" w:rsidR="003353BD" w:rsidRPr="00817193" w:rsidRDefault="003353BD" w:rsidP="00270F67">
      <w:pPr>
        <w:ind w:left="216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(ii) matters under federal jurisdiction</w:t>
      </w:r>
      <w:r w:rsidR="00270F67" w:rsidRPr="00817193">
        <w:rPr>
          <w:rFonts w:ascii="Times New Roman" w:hAnsi="Times New Roman" w:cs="Times New Roman"/>
          <w:sz w:val="24"/>
          <w:szCs w:val="24"/>
        </w:rPr>
        <w:t>:</w:t>
      </w:r>
      <w:r w:rsidRPr="00817193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3BA3761F" w14:textId="77777777" w:rsidR="003353BD" w:rsidRPr="00817193" w:rsidRDefault="003353BD" w:rsidP="00270F67">
      <w:pPr>
        <w:ind w:left="216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(iii) matters involving public international law,</w:t>
      </w:r>
    </w:p>
    <w:p w14:paraId="08F75623" w14:textId="3F0F74DC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(b) draw, revise or settle a document for use in a proceeding concerning matters under federal jurisdiction</w:t>
      </w:r>
      <w:r w:rsidR="00270F67" w:rsidRPr="00817193">
        <w:rPr>
          <w:rFonts w:ascii="Times New Roman" w:hAnsi="Times New Roman" w:cs="Times New Roman"/>
          <w:sz w:val="24"/>
          <w:szCs w:val="24"/>
        </w:rPr>
        <w:t>;</w:t>
      </w:r>
      <w:r w:rsidRPr="00817193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05733A41" w14:textId="2F9D0172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(c) appear as counsel or advocate before any tribunal with respect to</w:t>
      </w:r>
      <w:r w:rsidR="007F2D1E" w:rsidRPr="00817193">
        <w:rPr>
          <w:rFonts w:ascii="Times New Roman" w:hAnsi="Times New Roman" w:cs="Times New Roman"/>
          <w:sz w:val="24"/>
          <w:szCs w:val="24"/>
        </w:rPr>
        <w:t xml:space="preserve"> uncontested or non-contentious</w:t>
      </w:r>
      <w:r w:rsidRPr="00817193">
        <w:rPr>
          <w:rFonts w:ascii="Times New Roman" w:hAnsi="Times New Roman" w:cs="Times New Roman"/>
          <w:sz w:val="24"/>
          <w:szCs w:val="24"/>
        </w:rPr>
        <w:t xml:space="preserve"> matters under federal jurisdiction.</w:t>
      </w:r>
    </w:p>
    <w:p w14:paraId="308E899C" w14:textId="544C96BB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7</w:t>
      </w:r>
      <w:r w:rsidRPr="00817193">
        <w:rPr>
          <w:rFonts w:ascii="Times New Roman" w:hAnsi="Times New Roman" w:cs="Times New Roman"/>
          <w:sz w:val="24"/>
          <w:szCs w:val="24"/>
        </w:rPr>
        <w:t>) A Canadian legal advisor shall not engage in the practice of law except as permitted under subsection (</w:t>
      </w:r>
      <w:r w:rsidR="00270F67" w:rsidRPr="00817193">
        <w:rPr>
          <w:rFonts w:ascii="Times New Roman" w:hAnsi="Times New Roman" w:cs="Times New Roman"/>
          <w:sz w:val="24"/>
          <w:szCs w:val="24"/>
        </w:rPr>
        <w:t>6</w:t>
      </w:r>
      <w:r w:rsidRPr="00817193">
        <w:rPr>
          <w:rFonts w:ascii="Times New Roman" w:hAnsi="Times New Roman" w:cs="Times New Roman"/>
          <w:sz w:val="24"/>
          <w:szCs w:val="24"/>
        </w:rPr>
        <w:t>).</w:t>
      </w:r>
    </w:p>
    <w:p w14:paraId="6798716B" w14:textId="238C1122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8</w:t>
      </w:r>
      <w:r w:rsidRPr="00817193">
        <w:rPr>
          <w:rFonts w:ascii="Times New Roman" w:hAnsi="Times New Roman" w:cs="Times New Roman"/>
          <w:sz w:val="24"/>
          <w:szCs w:val="24"/>
        </w:rPr>
        <w:t xml:space="preserve">) A member in good standing of the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notaires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du Québec who is admitted as a Canadian legal advisor has all the duties and responsibilities of a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practising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member under the Act, these rules, the </w:t>
      </w:r>
      <w:r w:rsidR="00EA3EF2" w:rsidRPr="00817193">
        <w:rPr>
          <w:rFonts w:ascii="Times New Roman" w:hAnsi="Times New Roman" w:cs="Times New Roman"/>
          <w:sz w:val="24"/>
          <w:szCs w:val="24"/>
        </w:rPr>
        <w:t xml:space="preserve">Law Society of Nunavut Model Code of </w:t>
      </w:r>
      <w:r w:rsidRPr="00817193">
        <w:rPr>
          <w:rFonts w:ascii="Times New Roman" w:hAnsi="Times New Roman" w:cs="Times New Roman"/>
          <w:sz w:val="24"/>
          <w:szCs w:val="24"/>
        </w:rPr>
        <w:t>Professional Conduct or any other rules of professional conduct adopted by the Society.</w:t>
      </w:r>
    </w:p>
    <w:p w14:paraId="7274C693" w14:textId="01B96829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9</w:t>
      </w:r>
      <w:r w:rsidRPr="00817193">
        <w:rPr>
          <w:rFonts w:ascii="Times New Roman" w:hAnsi="Times New Roman" w:cs="Times New Roman"/>
          <w:sz w:val="24"/>
          <w:szCs w:val="24"/>
        </w:rPr>
        <w:t xml:space="preserve">) A Canadian legal advisor shall immediately notify the Secretary in writing if he or she ceases to be authorized to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law in Qu</w:t>
      </w:r>
      <w:r w:rsidR="00A96E59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bec.</w:t>
      </w:r>
    </w:p>
    <w:p w14:paraId="7740D300" w14:textId="633D7F4A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</w:t>
      </w:r>
      <w:r w:rsidR="00270F67" w:rsidRPr="00817193">
        <w:rPr>
          <w:rFonts w:ascii="Times New Roman" w:hAnsi="Times New Roman" w:cs="Times New Roman"/>
          <w:sz w:val="24"/>
          <w:szCs w:val="24"/>
        </w:rPr>
        <w:t>10</w:t>
      </w:r>
      <w:r w:rsidRPr="00817193">
        <w:rPr>
          <w:rFonts w:ascii="Times New Roman" w:hAnsi="Times New Roman" w:cs="Times New Roman"/>
          <w:sz w:val="24"/>
          <w:szCs w:val="24"/>
        </w:rPr>
        <w:t xml:space="preserve">) A member in good standing of the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817193">
        <w:rPr>
          <w:rFonts w:ascii="Times New Roman" w:hAnsi="Times New Roman" w:cs="Times New Roman"/>
          <w:sz w:val="24"/>
          <w:szCs w:val="24"/>
        </w:rPr>
        <w:t>notaires</w:t>
      </w:r>
      <w:proofErr w:type="spellEnd"/>
      <w:r w:rsidRPr="00817193">
        <w:rPr>
          <w:rFonts w:ascii="Times New Roman" w:hAnsi="Times New Roman" w:cs="Times New Roman"/>
          <w:sz w:val="24"/>
          <w:szCs w:val="24"/>
        </w:rPr>
        <w:t xml:space="preserve"> du Québec admitted under this section has no greater rights as a member of the Society than</w:t>
      </w:r>
      <w:r w:rsidR="00270F67" w:rsidRPr="00817193">
        <w:rPr>
          <w:rFonts w:ascii="Times New Roman" w:hAnsi="Times New Roman" w:cs="Times New Roman"/>
          <w:sz w:val="24"/>
          <w:szCs w:val="24"/>
        </w:rPr>
        <w:t>:</w:t>
      </w:r>
    </w:p>
    <w:p w14:paraId="0CEBAB7A" w14:textId="0880D4FF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 xml:space="preserve">(a) the member has as a member of the </w:t>
      </w:r>
      <w:proofErr w:type="spellStart"/>
      <w:r w:rsidR="00270F67" w:rsidRPr="00817193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="00270F67" w:rsidRPr="00817193">
        <w:rPr>
          <w:rFonts w:ascii="Times New Roman" w:hAnsi="Times New Roman" w:cs="Times New Roman"/>
          <w:sz w:val="24"/>
          <w:szCs w:val="24"/>
        </w:rPr>
        <w:t xml:space="preserve"> in Québec;</w:t>
      </w:r>
      <w:r w:rsidRPr="00817193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481E2031" w14:textId="77777777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(b) any other member of the Society in similar circumstances.</w:t>
      </w:r>
    </w:p>
    <w:p w14:paraId="2D41FB2D" w14:textId="03D67F1B" w:rsidR="003353BD" w:rsidRPr="00817193" w:rsidRDefault="003353BD" w:rsidP="00270F67">
      <w:pPr>
        <w:ind w:left="72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(1</w:t>
      </w:r>
      <w:r w:rsidR="00270F67" w:rsidRPr="00817193">
        <w:rPr>
          <w:rFonts w:ascii="Times New Roman" w:hAnsi="Times New Roman" w:cs="Times New Roman"/>
          <w:sz w:val="24"/>
          <w:szCs w:val="24"/>
        </w:rPr>
        <w:t>1</w:t>
      </w:r>
      <w:r w:rsidRPr="00817193">
        <w:rPr>
          <w:rFonts w:ascii="Times New Roman" w:hAnsi="Times New Roman" w:cs="Times New Roman"/>
          <w:sz w:val="24"/>
          <w:szCs w:val="24"/>
        </w:rPr>
        <w:t>) A Canadian Legal Advisor, when engaging in advertising or any other form of marketing activity in Nunavut, shall:</w:t>
      </w:r>
    </w:p>
    <w:p w14:paraId="574DB02F" w14:textId="09C2BE14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(a) use the term “Canadian Legal Advisor”</w:t>
      </w:r>
      <w:r w:rsidR="00270F67" w:rsidRPr="00817193">
        <w:rPr>
          <w:rFonts w:ascii="Times New Roman" w:hAnsi="Times New Roman" w:cs="Times New Roman"/>
          <w:sz w:val="24"/>
          <w:szCs w:val="24"/>
        </w:rPr>
        <w:t>;</w:t>
      </w:r>
    </w:p>
    <w:p w14:paraId="5A6CD5D0" w14:textId="132CF95E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(b) state that he or she is only qualified to provide legal advice on matters dealing with public international law, the laws of Qu</w:t>
      </w:r>
      <w:r w:rsidR="00A96E59">
        <w:rPr>
          <w:rFonts w:ascii="Times New Roman" w:hAnsi="Times New Roman" w:cs="Times New Roman"/>
          <w:sz w:val="24"/>
          <w:szCs w:val="24"/>
        </w:rPr>
        <w:t>é</w:t>
      </w:r>
      <w:r w:rsidRPr="00817193">
        <w:rPr>
          <w:rFonts w:ascii="Times New Roman" w:hAnsi="Times New Roman" w:cs="Times New Roman"/>
          <w:sz w:val="24"/>
          <w:szCs w:val="24"/>
        </w:rPr>
        <w:t>bec, and matters under federal jurisdiction</w:t>
      </w:r>
      <w:r w:rsidR="00270F67" w:rsidRPr="00817193">
        <w:rPr>
          <w:rFonts w:ascii="Times New Roman" w:hAnsi="Times New Roman" w:cs="Times New Roman"/>
          <w:sz w:val="24"/>
          <w:szCs w:val="24"/>
        </w:rPr>
        <w:t>;</w:t>
      </w:r>
      <w:r w:rsidRPr="0081719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C536521" w14:textId="18879B61" w:rsidR="003353BD" w:rsidRPr="00817193" w:rsidRDefault="003353BD" w:rsidP="00270F67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193">
        <w:rPr>
          <w:rFonts w:ascii="Times New Roman" w:hAnsi="Times New Roman" w:cs="Times New Roman"/>
          <w:sz w:val="24"/>
          <w:szCs w:val="24"/>
        </w:rPr>
        <w:t>(c) not use any designation or make any representation from which a recipient might reasonably conclude that the consultant is a regular unrestricted member of the Society or in any way qualified to practice in Nunavut except as a Canadian Legal Advisor.</w:t>
      </w:r>
    </w:p>
    <w:p w14:paraId="2560A8F0" w14:textId="1FA3E6DA" w:rsidR="008B7B8D" w:rsidRPr="00817193" w:rsidRDefault="00817193" w:rsidP="008B7B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108B3" w:rsidRPr="008171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525A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Schedule A is amended by striking out “39.7(2)(a)” </w:t>
      </w:r>
      <w:r w:rsidR="008108B3" w:rsidRPr="00817193">
        <w:rPr>
          <w:rFonts w:ascii="Times New Roman" w:hAnsi="Times New Roman" w:cs="Times New Roman"/>
          <w:b/>
          <w:bCs/>
          <w:sz w:val="24"/>
          <w:szCs w:val="24"/>
        </w:rPr>
        <w:t>where it appears i</w:t>
      </w:r>
      <w:r w:rsidR="00181AC7" w:rsidRPr="008171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108B3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item</w:t>
      </w:r>
      <w:r w:rsidR="001E65C8" w:rsidRPr="0081719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08B3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F8F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1(2) and 3(1) </w:t>
      </w:r>
      <w:r w:rsidR="0049525A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1E65C8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in each case </w:t>
      </w:r>
      <w:r w:rsidR="0049525A" w:rsidRPr="00817193">
        <w:rPr>
          <w:rFonts w:ascii="Times New Roman" w:hAnsi="Times New Roman" w:cs="Times New Roman"/>
          <w:b/>
          <w:bCs/>
          <w:sz w:val="24"/>
          <w:szCs w:val="24"/>
        </w:rPr>
        <w:t>substituting “39.6”.</w:t>
      </w:r>
    </w:p>
    <w:p w14:paraId="4A58447A" w14:textId="29E24AD9" w:rsidR="001E65C8" w:rsidRPr="00817193" w:rsidRDefault="00817193" w:rsidP="008B7B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65C8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. Form D </w:t>
      </w:r>
      <w:r w:rsidR="00D54B93" w:rsidRPr="00817193">
        <w:rPr>
          <w:rFonts w:ascii="Times New Roman" w:hAnsi="Times New Roman" w:cs="Times New Roman"/>
          <w:b/>
          <w:bCs/>
          <w:sz w:val="24"/>
          <w:szCs w:val="24"/>
        </w:rPr>
        <w:t>is amended by striking out “</w:t>
      </w:r>
      <w:r w:rsidR="008A74FD" w:rsidRPr="00817193">
        <w:rPr>
          <w:rFonts w:ascii="Times New Roman" w:hAnsi="Times New Roman" w:cs="Times New Roman"/>
          <w:b/>
          <w:bCs/>
          <w:sz w:val="24"/>
          <w:szCs w:val="24"/>
        </w:rPr>
        <w:t xml:space="preserve">39.7(2)” in </w:t>
      </w:r>
      <w:r w:rsidR="00273E78" w:rsidRPr="00817193">
        <w:rPr>
          <w:rFonts w:ascii="Times New Roman" w:hAnsi="Times New Roman" w:cs="Times New Roman"/>
          <w:b/>
          <w:bCs/>
          <w:sz w:val="24"/>
          <w:szCs w:val="24"/>
        </w:rPr>
        <w:t>item 5 and substituting “39.6(5)(a)”.</w:t>
      </w:r>
    </w:p>
    <w:p w14:paraId="6D687E1E" w14:textId="5B9F894C" w:rsidR="005A358E" w:rsidRPr="00B154F6" w:rsidRDefault="00817193" w:rsidP="00B154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4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A358E" w:rsidRPr="00B154F6">
        <w:rPr>
          <w:rFonts w:ascii="Times New Roman" w:hAnsi="Times New Roman" w:cs="Times New Roman"/>
          <w:b/>
          <w:bCs/>
          <w:sz w:val="24"/>
          <w:szCs w:val="24"/>
        </w:rPr>
        <w:t>. Form N.1 is amended by striking out “</w:t>
      </w:r>
      <w:r w:rsidR="00B11804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Subsection </w:t>
      </w:r>
      <w:r w:rsidR="005A358E" w:rsidRPr="00B154F6">
        <w:rPr>
          <w:rFonts w:ascii="Times New Roman" w:hAnsi="Times New Roman" w:cs="Times New Roman"/>
          <w:b/>
          <w:bCs/>
          <w:sz w:val="24"/>
          <w:szCs w:val="24"/>
        </w:rPr>
        <w:t>39.7” and substituting “</w:t>
      </w:r>
      <w:r w:rsidR="00B11804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5A358E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39.6”. </w:t>
      </w:r>
    </w:p>
    <w:p w14:paraId="5E16C5B3" w14:textId="39740057" w:rsidR="00B11804" w:rsidRPr="00817193" w:rsidRDefault="00640AFB" w:rsidP="003C6469">
      <w:pPr>
        <w:spacing w:after="0"/>
        <w:rPr>
          <w:rFonts w:ascii="Times New Roman" w:hAnsi="Times New Roman" w:cs="Times New Roman"/>
          <w:b/>
          <w:bCs/>
        </w:rPr>
      </w:pPr>
      <w:r w:rsidRPr="00817193">
        <w:rPr>
          <w:rFonts w:ascii="Times New Roman" w:hAnsi="Times New Roman" w:cs="Times New Roman"/>
          <w:b/>
          <w:bCs/>
        </w:rPr>
        <w:t>Transitional</w:t>
      </w:r>
    </w:p>
    <w:p w14:paraId="323DED7C" w14:textId="167F1716" w:rsidR="00640AFB" w:rsidRPr="00B154F6" w:rsidRDefault="00FF24E8" w:rsidP="00B154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 w:rsidR="0094538E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5C81" w:rsidRPr="00B154F6">
        <w:rPr>
          <w:rFonts w:ascii="Times New Roman" w:hAnsi="Times New Roman" w:cs="Times New Roman"/>
          <w:b/>
          <w:bCs/>
          <w:sz w:val="24"/>
          <w:szCs w:val="24"/>
        </w:rPr>
        <w:t>A m</w:t>
      </w:r>
      <w:r w:rsidR="00B309B9" w:rsidRPr="00B154F6">
        <w:rPr>
          <w:rFonts w:ascii="Times New Roman" w:hAnsi="Times New Roman" w:cs="Times New Roman"/>
          <w:b/>
          <w:bCs/>
          <w:sz w:val="24"/>
          <w:szCs w:val="24"/>
        </w:rPr>
        <w:t>ember</w:t>
      </w:r>
      <w:r w:rsidR="002B5C81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 w:rsidR="002B5C81" w:rsidRPr="00B154F6">
        <w:rPr>
          <w:rFonts w:ascii="Times New Roman" w:hAnsi="Times New Roman" w:cs="Times New Roman"/>
          <w:b/>
          <w:bCs/>
          <w:sz w:val="24"/>
          <w:szCs w:val="24"/>
        </w:rPr>
        <w:t>Barreau</w:t>
      </w:r>
      <w:proofErr w:type="spellEnd"/>
      <w:r w:rsidR="002B5C81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0E4DFC" w:rsidRPr="00B154F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B5C81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Québec who is </w:t>
      </w:r>
      <w:r w:rsidR="000E4DFC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registered with the Society as a </w:t>
      </w:r>
      <w:r w:rsidR="00B309B9" w:rsidRPr="00B154F6">
        <w:rPr>
          <w:rFonts w:ascii="Times New Roman" w:hAnsi="Times New Roman" w:cs="Times New Roman"/>
          <w:b/>
          <w:bCs/>
          <w:sz w:val="24"/>
          <w:szCs w:val="24"/>
        </w:rPr>
        <w:t>Canadian Legal Advisor on the day on which these amendments come into force</w:t>
      </w:r>
      <w:r w:rsidR="000E4DFC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B5C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remains </w:t>
      </w:r>
      <w:r w:rsidR="00750C86" w:rsidRPr="00B154F6">
        <w:rPr>
          <w:rFonts w:ascii="Times New Roman" w:hAnsi="Times New Roman" w:cs="Times New Roman"/>
          <w:b/>
          <w:bCs/>
          <w:sz w:val="24"/>
          <w:szCs w:val="24"/>
        </w:rPr>
        <w:t>so registered</w:t>
      </w:r>
      <w:r w:rsidR="00810628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with no change in his or her existing authority to practice </w:t>
      </w:r>
      <w:proofErr w:type="gramStart"/>
      <w:r w:rsidR="00810628" w:rsidRPr="00B154F6">
        <w:rPr>
          <w:rFonts w:ascii="Times New Roman" w:hAnsi="Times New Roman" w:cs="Times New Roman"/>
          <w:b/>
          <w:bCs/>
          <w:sz w:val="24"/>
          <w:szCs w:val="24"/>
        </w:rPr>
        <w:t>law,</w:t>
      </w:r>
      <w:r w:rsidR="00DF2CD5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C86" w:rsidRPr="00B154F6">
        <w:rPr>
          <w:rFonts w:ascii="Times New Roman" w:hAnsi="Times New Roman" w:cs="Times New Roman"/>
          <w:b/>
          <w:bCs/>
          <w:sz w:val="24"/>
          <w:szCs w:val="24"/>
        </w:rPr>
        <w:t>but</w:t>
      </w:r>
      <w:proofErr w:type="gramEnd"/>
      <w:r w:rsidR="00750C86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is eligible </w:t>
      </w:r>
      <w:r w:rsidR="003545F4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to renew </w:t>
      </w:r>
      <w:r w:rsidR="00750C86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his or her membership </w:t>
      </w:r>
      <w:r w:rsidR="003545F4" w:rsidRPr="00B154F6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9F4B34" w:rsidRPr="00B154F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D83A14" w:rsidRPr="00B154F6">
        <w:rPr>
          <w:rFonts w:ascii="Times New Roman" w:hAnsi="Times New Roman" w:cs="Times New Roman"/>
          <w:b/>
          <w:bCs/>
          <w:sz w:val="24"/>
          <w:szCs w:val="24"/>
        </w:rPr>
        <w:t>regular member of the Society</w:t>
      </w:r>
      <w:r w:rsidR="003C6469" w:rsidRPr="00B154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D9DF9" w14:textId="77777777" w:rsidR="0049525A" w:rsidRPr="00817193" w:rsidRDefault="0049525A" w:rsidP="008B7B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CD2976" w14:textId="77777777" w:rsidR="00B32A3F" w:rsidRPr="00817193" w:rsidRDefault="00B32A3F" w:rsidP="00270F6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B32A3F" w:rsidRPr="00817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99FF" w14:textId="77777777" w:rsidR="00DF501D" w:rsidRDefault="00DF501D" w:rsidP="00F178D7">
      <w:pPr>
        <w:spacing w:after="0" w:line="240" w:lineRule="auto"/>
      </w:pPr>
      <w:r>
        <w:separator/>
      </w:r>
    </w:p>
  </w:endnote>
  <w:endnote w:type="continuationSeparator" w:id="0">
    <w:p w14:paraId="2BC4F324" w14:textId="77777777" w:rsidR="00DF501D" w:rsidRDefault="00DF501D" w:rsidP="00F1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4A34" w14:textId="77777777" w:rsidR="00D44571" w:rsidRDefault="00D44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3CF6" w14:textId="77777777" w:rsidR="00D44571" w:rsidRDefault="00D44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3282B" w14:textId="77777777" w:rsidR="00D44571" w:rsidRDefault="00D44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3FE5" w14:textId="77777777" w:rsidR="00DF501D" w:rsidRDefault="00DF501D" w:rsidP="00F178D7">
      <w:pPr>
        <w:spacing w:after="0" w:line="240" w:lineRule="auto"/>
      </w:pPr>
      <w:r>
        <w:separator/>
      </w:r>
    </w:p>
  </w:footnote>
  <w:footnote w:type="continuationSeparator" w:id="0">
    <w:p w14:paraId="21089E25" w14:textId="77777777" w:rsidR="00DF501D" w:rsidRDefault="00DF501D" w:rsidP="00F1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DE56" w14:textId="77777777" w:rsidR="00D44571" w:rsidRDefault="00D44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F6B2" w14:textId="632948AA" w:rsidR="00D44571" w:rsidRDefault="00D44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DE79" w14:textId="77777777" w:rsidR="00D44571" w:rsidRDefault="00D44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7B3"/>
    <w:multiLevelType w:val="hybridMultilevel"/>
    <w:tmpl w:val="CC56B3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34DF"/>
    <w:multiLevelType w:val="hybridMultilevel"/>
    <w:tmpl w:val="FAAE9A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4D25"/>
    <w:multiLevelType w:val="hybridMultilevel"/>
    <w:tmpl w:val="762E63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727C"/>
    <w:multiLevelType w:val="hybridMultilevel"/>
    <w:tmpl w:val="84C879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BD"/>
    <w:rsid w:val="00094B60"/>
    <w:rsid w:val="000D2EE3"/>
    <w:rsid w:val="000E2F8D"/>
    <w:rsid w:val="000E4DFC"/>
    <w:rsid w:val="00181AC7"/>
    <w:rsid w:val="001C3BF4"/>
    <w:rsid w:val="001E65C8"/>
    <w:rsid w:val="00231B31"/>
    <w:rsid w:val="002650DA"/>
    <w:rsid w:val="00270F67"/>
    <w:rsid w:val="00273E78"/>
    <w:rsid w:val="002B5C81"/>
    <w:rsid w:val="002E6143"/>
    <w:rsid w:val="00306FE6"/>
    <w:rsid w:val="00317F8F"/>
    <w:rsid w:val="003353BD"/>
    <w:rsid w:val="003545F4"/>
    <w:rsid w:val="00386B03"/>
    <w:rsid w:val="00386EB1"/>
    <w:rsid w:val="003C6469"/>
    <w:rsid w:val="003D364F"/>
    <w:rsid w:val="0049525A"/>
    <w:rsid w:val="004A293C"/>
    <w:rsid w:val="005831D6"/>
    <w:rsid w:val="005968BC"/>
    <w:rsid w:val="005A084F"/>
    <w:rsid w:val="005A358E"/>
    <w:rsid w:val="005D79F2"/>
    <w:rsid w:val="00640AFB"/>
    <w:rsid w:val="00681231"/>
    <w:rsid w:val="006A21DA"/>
    <w:rsid w:val="00750C86"/>
    <w:rsid w:val="007C35B0"/>
    <w:rsid w:val="007F2D1E"/>
    <w:rsid w:val="007F75C1"/>
    <w:rsid w:val="00810628"/>
    <w:rsid w:val="008108B3"/>
    <w:rsid w:val="00817193"/>
    <w:rsid w:val="00854406"/>
    <w:rsid w:val="008A4176"/>
    <w:rsid w:val="008A74FD"/>
    <w:rsid w:val="008B7B8D"/>
    <w:rsid w:val="008E2509"/>
    <w:rsid w:val="00913C8D"/>
    <w:rsid w:val="0094538E"/>
    <w:rsid w:val="0095520D"/>
    <w:rsid w:val="009621E6"/>
    <w:rsid w:val="009F4B34"/>
    <w:rsid w:val="00A96086"/>
    <w:rsid w:val="00A96E59"/>
    <w:rsid w:val="00AE2FDC"/>
    <w:rsid w:val="00B11804"/>
    <w:rsid w:val="00B154F6"/>
    <w:rsid w:val="00B309B9"/>
    <w:rsid w:val="00B32A3F"/>
    <w:rsid w:val="00BD7678"/>
    <w:rsid w:val="00C220D8"/>
    <w:rsid w:val="00C37C3A"/>
    <w:rsid w:val="00C66F25"/>
    <w:rsid w:val="00C77A56"/>
    <w:rsid w:val="00CC6FFB"/>
    <w:rsid w:val="00D37B5C"/>
    <w:rsid w:val="00D44571"/>
    <w:rsid w:val="00D54B93"/>
    <w:rsid w:val="00D83A14"/>
    <w:rsid w:val="00DF2CD5"/>
    <w:rsid w:val="00DF501D"/>
    <w:rsid w:val="00E37E2B"/>
    <w:rsid w:val="00EA3EF2"/>
    <w:rsid w:val="00EE7054"/>
    <w:rsid w:val="00F178D7"/>
    <w:rsid w:val="00F3333E"/>
    <w:rsid w:val="00F3513E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23D4"/>
  <w15:chartTrackingRefBased/>
  <w15:docId w15:val="{FF9667BF-5E38-408D-B593-DB1C13B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78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8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8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71"/>
  </w:style>
  <w:style w:type="paragraph" w:styleId="Footer">
    <w:name w:val="footer"/>
    <w:basedOn w:val="Normal"/>
    <w:link w:val="FooterChar"/>
    <w:uiPriority w:val="99"/>
    <w:unhideWhenUsed/>
    <w:rsid w:val="00D44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71"/>
  </w:style>
  <w:style w:type="paragraph" w:styleId="ListParagraph">
    <w:name w:val="List Paragraph"/>
    <w:basedOn w:val="Normal"/>
    <w:uiPriority w:val="34"/>
    <w:qFormat/>
    <w:rsid w:val="00C77A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6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764391699E4782C4197546E3235A" ma:contentTypeVersion="10" ma:contentTypeDescription="Create a new document." ma:contentTypeScope="" ma:versionID="38bbdb0e47f50167c8a5af6c24ca416d">
  <xsd:schema xmlns:xsd="http://www.w3.org/2001/XMLSchema" xmlns:xs="http://www.w3.org/2001/XMLSchema" xmlns:p="http://schemas.microsoft.com/office/2006/metadata/properties" xmlns:ns2="1f700d22-42ca-4f09-9eef-6ba912e51c8d" targetNamespace="http://schemas.microsoft.com/office/2006/metadata/properties" ma:root="true" ma:fieldsID="59d071a798934e9cd816f593c8a6ff0a" ns2:_="">
    <xsd:import namespace="1f700d22-42ca-4f09-9eef-6ba912e51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0d22-42ca-4f09-9eef-6ba912e51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5B91-A91B-4323-8CA3-90994997B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6BC32-CA54-4D97-B4B1-9CC0C6811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0d22-42ca-4f09-9eef-6ba912e51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2072C-DEA5-4BB4-B4A5-541128261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C8C7E-476B-408D-BD9F-D206913A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Merrilee Rasmussen</dc:creator>
  <cp:keywords/>
  <dc:description/>
  <cp:lastModifiedBy>CEO</cp:lastModifiedBy>
  <cp:revision>2</cp:revision>
  <dcterms:created xsi:type="dcterms:W3CDTF">2020-11-26T01:03:00Z</dcterms:created>
  <dcterms:modified xsi:type="dcterms:W3CDTF">2020-11-26T01:03:00Z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0x010100671B764391699E4782C4197546E3235A</vt:lpwstr>
  </property>
</Properties>
</file>