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59" w:rsidRDefault="007E2D59">
      <w:pPr>
        <w:pStyle w:val="BodyText"/>
        <w:rPr>
          <w:rFonts w:ascii="Times New Roman"/>
          <w:sz w:val="20"/>
        </w:rPr>
      </w:pPr>
      <w:bookmarkStart w:id="0" w:name="_GoBack"/>
      <w:bookmarkEnd w:id="0"/>
    </w:p>
    <w:p w:rsidR="007E2D59" w:rsidRDefault="007E2D59">
      <w:pPr>
        <w:pStyle w:val="BodyText"/>
        <w:spacing w:after="1"/>
        <w:rPr>
          <w:rFonts w:ascii="Times New Roman"/>
          <w:sz w:val="25"/>
        </w:rPr>
      </w:pPr>
    </w:p>
    <w:p w:rsidR="007E2D59" w:rsidRDefault="00FC7BA3">
      <w:pPr>
        <w:pStyle w:val="BodyText"/>
        <w:ind w:left="3540"/>
        <w:rPr>
          <w:rFonts w:ascii="Times New Roman"/>
          <w:sz w:val="20"/>
        </w:rPr>
      </w:pPr>
      <w:r>
        <w:rPr>
          <w:rFonts w:ascii="Times New Roman"/>
          <w:noProof/>
          <w:sz w:val="20"/>
          <w:lang w:val="en-CA" w:eastAsia="en-CA"/>
        </w:rPr>
        <w:drawing>
          <wp:inline distT="0" distB="0" distL="0" distR="0">
            <wp:extent cx="1755679" cy="14655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5679" cy="1465516"/>
                    </a:xfrm>
                    <a:prstGeom prst="rect">
                      <a:avLst/>
                    </a:prstGeom>
                  </pic:spPr>
                </pic:pic>
              </a:graphicData>
            </a:graphic>
          </wp:inline>
        </w:drawing>
      </w:r>
    </w:p>
    <w:p w:rsidR="007E2D59" w:rsidRDefault="007E2D59">
      <w:pPr>
        <w:pStyle w:val="BodyText"/>
        <w:spacing w:before="9"/>
        <w:rPr>
          <w:rFonts w:ascii="Times New Roman"/>
          <w:sz w:val="14"/>
        </w:rPr>
      </w:pPr>
    </w:p>
    <w:p w:rsidR="007E2D59" w:rsidRDefault="00FC7BA3">
      <w:pPr>
        <w:pStyle w:val="BodyText"/>
        <w:spacing w:before="62"/>
        <w:ind w:left="2575" w:right="2589"/>
        <w:jc w:val="center"/>
      </w:pPr>
      <w:r>
        <w:rPr>
          <w:color w:val="1F487C"/>
        </w:rPr>
        <w:t>Compulsory Professional Development</w:t>
      </w:r>
    </w:p>
    <w:p w:rsidR="007E2D59" w:rsidRDefault="007E2D59">
      <w:pPr>
        <w:spacing w:before="11"/>
        <w:rPr>
          <w:i/>
        </w:rPr>
      </w:pPr>
    </w:p>
    <w:p w:rsidR="007E2D59" w:rsidRDefault="00FC7BA3">
      <w:pPr>
        <w:ind w:left="2574" w:right="2589"/>
        <w:jc w:val="center"/>
        <w:rPr>
          <w:b/>
          <w:color w:val="1F487C"/>
          <w:sz w:val="28"/>
        </w:rPr>
      </w:pPr>
      <w:r>
        <w:rPr>
          <w:b/>
          <w:color w:val="1F487C"/>
          <w:sz w:val="28"/>
        </w:rPr>
        <w:t>Description of Types of Activities</w:t>
      </w:r>
    </w:p>
    <w:p w:rsidR="008450D5" w:rsidRDefault="008450D5">
      <w:pPr>
        <w:ind w:left="2574" w:right="2589"/>
        <w:jc w:val="center"/>
        <w:rPr>
          <w:b/>
          <w:color w:val="1F487C"/>
          <w:sz w:val="28"/>
        </w:rPr>
      </w:pPr>
    </w:p>
    <w:p w:rsidR="008450D5" w:rsidRDefault="008450D5">
      <w:pPr>
        <w:ind w:left="2574" w:right="2589"/>
        <w:jc w:val="center"/>
        <w:rPr>
          <w:b/>
          <w:sz w:val="28"/>
        </w:rPr>
      </w:pPr>
    </w:p>
    <w:p w:rsidR="007E2D59" w:rsidRDefault="007E2D59">
      <w:pPr>
        <w:spacing w:before="3" w:after="1"/>
        <w:rPr>
          <w:b/>
          <w:sz w:val="21"/>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00"/>
        <w:gridCol w:w="7008"/>
      </w:tblGrid>
      <w:tr w:rsidR="008450D5" w:rsidTr="007F0D93">
        <w:trPr>
          <w:trHeight w:hRule="exact" w:val="2206"/>
        </w:trPr>
        <w:tc>
          <w:tcPr>
            <w:tcW w:w="2600" w:type="dxa"/>
            <w:tcBorders>
              <w:top w:val="single" w:sz="8" w:space="0" w:color="4F81BC"/>
              <w:bottom w:val="single" w:sz="8" w:space="0" w:color="4F81BC"/>
            </w:tcBorders>
            <w:shd w:val="clear" w:color="auto" w:fill="D2DFED"/>
          </w:tcPr>
          <w:p w:rsidR="008450D5" w:rsidRDefault="008450D5">
            <w:pPr>
              <w:pStyle w:val="TableParagraph"/>
              <w:spacing w:before="1"/>
              <w:rPr>
                <w:b/>
              </w:rPr>
            </w:pPr>
          </w:p>
          <w:p w:rsidR="008450D5" w:rsidRDefault="008450D5">
            <w:pPr>
              <w:pStyle w:val="TableParagraph"/>
              <w:spacing w:before="1"/>
              <w:rPr>
                <w:b/>
              </w:rPr>
            </w:pPr>
            <w:r>
              <w:rPr>
                <w:b/>
              </w:rPr>
              <w:t>Substantive Legal</w:t>
            </w:r>
          </w:p>
          <w:p w:rsidR="008450D5" w:rsidRDefault="008450D5">
            <w:pPr>
              <w:pStyle w:val="TableParagraph"/>
              <w:spacing w:before="1"/>
              <w:rPr>
                <w:b/>
              </w:rPr>
            </w:pPr>
            <w:r>
              <w:rPr>
                <w:b/>
              </w:rPr>
              <w:t>Or Procedural issues:</w:t>
            </w:r>
          </w:p>
        </w:tc>
        <w:tc>
          <w:tcPr>
            <w:tcW w:w="7008" w:type="dxa"/>
            <w:tcBorders>
              <w:top w:val="single" w:sz="8" w:space="0" w:color="4F81BC"/>
              <w:bottom w:val="single" w:sz="8" w:space="0" w:color="4F81BC"/>
            </w:tcBorders>
            <w:shd w:val="clear" w:color="auto" w:fill="DBE5F1" w:themeFill="accent1" w:themeFillTint="33"/>
          </w:tcPr>
          <w:p w:rsidR="008450D5" w:rsidRDefault="008450D5">
            <w:pPr>
              <w:pStyle w:val="TableParagraph"/>
              <w:spacing w:before="1"/>
              <w:rPr>
                <w:b/>
              </w:rPr>
            </w:pPr>
          </w:p>
          <w:p w:rsidR="00B12819" w:rsidRPr="007F0D93" w:rsidRDefault="007F0D93">
            <w:pPr>
              <w:pStyle w:val="TableParagraph"/>
              <w:spacing w:before="1"/>
            </w:pPr>
            <w:r w:rsidRPr="007F0D93">
              <w:t>Maintaining</w:t>
            </w:r>
            <w:r w:rsidR="00B12819" w:rsidRPr="007F0D93">
              <w:t xml:space="preserve"> an understanding of the core legal concepts involving Practice area knowledge, legal skills training and generic skills training.</w:t>
            </w:r>
          </w:p>
          <w:p w:rsidR="00B12819" w:rsidRPr="007F0D93" w:rsidRDefault="00B12819">
            <w:pPr>
              <w:pStyle w:val="TableParagraph"/>
              <w:spacing w:before="1"/>
            </w:pPr>
          </w:p>
          <w:p w:rsidR="007F0D93" w:rsidRDefault="00B12819">
            <w:pPr>
              <w:pStyle w:val="TableParagraph"/>
              <w:spacing w:before="1"/>
              <w:rPr>
                <w:b/>
              </w:rPr>
            </w:pPr>
            <w:r w:rsidRPr="007F0D93">
              <w:t xml:space="preserve">For example: Civil litigation, Estate administration, rules of court, legal drafting, negotiating, mediation, plain language writing and </w:t>
            </w:r>
            <w:proofErr w:type="spellStart"/>
            <w:r w:rsidRPr="007F0D93">
              <w:t>ect</w:t>
            </w:r>
            <w:proofErr w:type="spellEnd"/>
            <w:r w:rsidRPr="007F0D93">
              <w:t>.</w:t>
            </w:r>
          </w:p>
          <w:p w:rsidR="00B12819" w:rsidRPr="007F0D93" w:rsidRDefault="007F0D93" w:rsidP="007F0D93">
            <w:pPr>
              <w:tabs>
                <w:tab w:val="left" w:pos="6260"/>
              </w:tabs>
            </w:pPr>
            <w:r>
              <w:tab/>
            </w:r>
          </w:p>
        </w:tc>
      </w:tr>
      <w:tr w:rsidR="008450D5" w:rsidTr="004356DC">
        <w:trPr>
          <w:trHeight w:hRule="exact" w:val="1214"/>
        </w:trPr>
        <w:tc>
          <w:tcPr>
            <w:tcW w:w="2600" w:type="dxa"/>
            <w:tcBorders>
              <w:top w:val="single" w:sz="8" w:space="0" w:color="4F81BC"/>
              <w:bottom w:val="single" w:sz="8" w:space="0" w:color="4F81BC"/>
            </w:tcBorders>
            <w:shd w:val="clear" w:color="auto" w:fill="FFFFFF" w:themeFill="background1"/>
          </w:tcPr>
          <w:p w:rsidR="008450D5" w:rsidRDefault="008450D5">
            <w:pPr>
              <w:pStyle w:val="TableParagraph"/>
              <w:spacing w:before="1"/>
              <w:rPr>
                <w:b/>
              </w:rPr>
            </w:pPr>
          </w:p>
          <w:p w:rsidR="00B12819" w:rsidRDefault="008450D5">
            <w:pPr>
              <w:pStyle w:val="TableParagraph"/>
              <w:spacing w:before="1"/>
              <w:rPr>
                <w:b/>
              </w:rPr>
            </w:pPr>
            <w:r>
              <w:rPr>
                <w:b/>
              </w:rPr>
              <w:t>Professional Responsibility</w:t>
            </w:r>
          </w:p>
          <w:p w:rsidR="008450D5" w:rsidRDefault="008450D5">
            <w:pPr>
              <w:pStyle w:val="TableParagraph"/>
              <w:spacing w:before="1"/>
              <w:rPr>
                <w:b/>
              </w:rPr>
            </w:pPr>
            <w:r>
              <w:rPr>
                <w:b/>
              </w:rPr>
              <w:t xml:space="preserve"> and Ethics </w:t>
            </w:r>
          </w:p>
          <w:p w:rsidR="008450D5" w:rsidRDefault="008450D5">
            <w:pPr>
              <w:pStyle w:val="TableParagraph"/>
              <w:spacing w:before="1"/>
              <w:rPr>
                <w:b/>
              </w:rPr>
            </w:pPr>
          </w:p>
        </w:tc>
        <w:tc>
          <w:tcPr>
            <w:tcW w:w="7008" w:type="dxa"/>
            <w:tcBorders>
              <w:top w:val="single" w:sz="8" w:space="0" w:color="4F81BC"/>
              <w:bottom w:val="single" w:sz="8" w:space="0" w:color="4F81BC"/>
            </w:tcBorders>
            <w:shd w:val="clear" w:color="auto" w:fill="FFFFFF" w:themeFill="background1"/>
          </w:tcPr>
          <w:p w:rsidR="008450D5" w:rsidRDefault="008450D5">
            <w:pPr>
              <w:pStyle w:val="TableParagraph"/>
              <w:spacing w:before="1"/>
              <w:rPr>
                <w:b/>
              </w:rPr>
            </w:pPr>
          </w:p>
          <w:p w:rsidR="00B12819" w:rsidRPr="007F0D93" w:rsidRDefault="00B12819">
            <w:pPr>
              <w:pStyle w:val="TableParagraph"/>
              <w:spacing w:before="1"/>
            </w:pPr>
            <w:r w:rsidRPr="007F0D93">
              <w:t xml:space="preserve">Maintaining knowledge on topics such as the Code of Professional Conduct, Trust Conditions and Undertakings, </w:t>
            </w:r>
            <w:r w:rsidR="009F0E3F" w:rsidRPr="007F0D93">
              <w:t xml:space="preserve">Equality and Diversity, Confidentiality and </w:t>
            </w:r>
            <w:proofErr w:type="spellStart"/>
            <w:r w:rsidR="009F0E3F" w:rsidRPr="007F0D93">
              <w:t>ect</w:t>
            </w:r>
            <w:proofErr w:type="spellEnd"/>
            <w:r w:rsidR="009F0E3F" w:rsidRPr="007F0D93">
              <w:t xml:space="preserve">. </w:t>
            </w:r>
          </w:p>
        </w:tc>
      </w:tr>
      <w:tr w:rsidR="008450D5" w:rsidTr="007F0D93">
        <w:trPr>
          <w:trHeight w:hRule="exact" w:val="1214"/>
        </w:trPr>
        <w:tc>
          <w:tcPr>
            <w:tcW w:w="2600" w:type="dxa"/>
            <w:tcBorders>
              <w:top w:val="single" w:sz="8" w:space="0" w:color="4F81BC"/>
              <w:bottom w:val="single" w:sz="8" w:space="0" w:color="4F81BC"/>
            </w:tcBorders>
            <w:shd w:val="clear" w:color="auto" w:fill="DBE5F1" w:themeFill="accent1" w:themeFillTint="33"/>
          </w:tcPr>
          <w:p w:rsidR="008450D5" w:rsidRDefault="008450D5">
            <w:pPr>
              <w:pStyle w:val="TableParagraph"/>
              <w:spacing w:before="1"/>
              <w:rPr>
                <w:b/>
              </w:rPr>
            </w:pPr>
          </w:p>
          <w:p w:rsidR="008450D5" w:rsidRDefault="008450D5">
            <w:pPr>
              <w:pStyle w:val="TableParagraph"/>
              <w:spacing w:before="1"/>
              <w:rPr>
                <w:b/>
              </w:rPr>
            </w:pPr>
            <w:r>
              <w:rPr>
                <w:b/>
              </w:rPr>
              <w:t>Practice and Standards Management (Including client care and relations)</w:t>
            </w:r>
          </w:p>
        </w:tc>
        <w:tc>
          <w:tcPr>
            <w:tcW w:w="7008" w:type="dxa"/>
            <w:tcBorders>
              <w:top w:val="single" w:sz="8" w:space="0" w:color="4F81BC"/>
              <w:bottom w:val="single" w:sz="8" w:space="0" w:color="4F81BC"/>
            </w:tcBorders>
            <w:shd w:val="clear" w:color="auto" w:fill="DBE5F1" w:themeFill="accent1" w:themeFillTint="33"/>
          </w:tcPr>
          <w:p w:rsidR="007F0D93" w:rsidRDefault="007F0D93" w:rsidP="007F0D93">
            <w:pPr>
              <w:pStyle w:val="TableParagraph"/>
              <w:tabs>
                <w:tab w:val="left" w:pos="1000"/>
              </w:tabs>
              <w:spacing w:before="1"/>
              <w:rPr>
                <w:b/>
              </w:rPr>
            </w:pPr>
            <w:r>
              <w:rPr>
                <w:b/>
              </w:rPr>
              <w:tab/>
            </w:r>
          </w:p>
          <w:p w:rsidR="008450D5" w:rsidRPr="007F0D93" w:rsidRDefault="007F0D93" w:rsidP="007F0D93">
            <w:r>
              <w:t>Maintaining knowledge on topics which will allow lawyers to run their business practices appropriately and in compliance with all requirements.</w:t>
            </w:r>
          </w:p>
        </w:tc>
      </w:tr>
      <w:tr w:rsidR="008450D5" w:rsidTr="007F0D93">
        <w:trPr>
          <w:trHeight w:hRule="exact" w:val="1878"/>
        </w:trPr>
        <w:tc>
          <w:tcPr>
            <w:tcW w:w="2600" w:type="dxa"/>
            <w:tcBorders>
              <w:top w:val="single" w:sz="8" w:space="0" w:color="4F81BC"/>
              <w:bottom w:val="single" w:sz="8" w:space="0" w:color="4F81BC"/>
            </w:tcBorders>
            <w:shd w:val="clear" w:color="auto" w:fill="FFFFFF" w:themeFill="background1"/>
          </w:tcPr>
          <w:p w:rsidR="008450D5" w:rsidRDefault="008450D5">
            <w:pPr>
              <w:pStyle w:val="TableParagraph"/>
              <w:spacing w:before="1"/>
              <w:rPr>
                <w:b/>
              </w:rPr>
            </w:pPr>
          </w:p>
          <w:p w:rsidR="008450D5" w:rsidRDefault="008450D5">
            <w:pPr>
              <w:pStyle w:val="TableParagraph"/>
              <w:spacing w:before="1"/>
              <w:rPr>
                <w:b/>
              </w:rPr>
            </w:pPr>
            <w:r>
              <w:rPr>
                <w:b/>
              </w:rPr>
              <w:t>Lawyer wellness</w:t>
            </w:r>
          </w:p>
        </w:tc>
        <w:tc>
          <w:tcPr>
            <w:tcW w:w="7008" w:type="dxa"/>
            <w:tcBorders>
              <w:top w:val="single" w:sz="8" w:space="0" w:color="4F81BC"/>
              <w:bottom w:val="single" w:sz="8" w:space="0" w:color="4F81BC"/>
            </w:tcBorders>
            <w:shd w:val="clear" w:color="auto" w:fill="FFFFFF" w:themeFill="background1"/>
          </w:tcPr>
          <w:p w:rsidR="008450D5" w:rsidRDefault="008450D5">
            <w:pPr>
              <w:pStyle w:val="TableParagraph"/>
              <w:spacing w:before="1"/>
              <w:rPr>
                <w:b/>
              </w:rPr>
            </w:pPr>
          </w:p>
          <w:p w:rsidR="00B12819" w:rsidRPr="007F0D93" w:rsidRDefault="00B12819">
            <w:pPr>
              <w:pStyle w:val="TableParagraph"/>
              <w:spacing w:before="1"/>
            </w:pPr>
            <w:r w:rsidRPr="007F0D93">
              <w:t>Activities which allow lawyers to maintain awareness of their mental and physical health and wellness or activities which allow lawyers to identify ways to maintain a healthy practice:</w:t>
            </w:r>
          </w:p>
          <w:p w:rsidR="00B12819" w:rsidRPr="007F0D93" w:rsidRDefault="00B12819">
            <w:pPr>
              <w:pStyle w:val="TableParagraph"/>
              <w:spacing w:before="1"/>
            </w:pPr>
          </w:p>
          <w:p w:rsidR="00B12819" w:rsidRDefault="00B12819" w:rsidP="00B12819">
            <w:pPr>
              <w:pStyle w:val="TableParagraph"/>
              <w:spacing w:before="1"/>
              <w:rPr>
                <w:b/>
              </w:rPr>
            </w:pPr>
            <w:r w:rsidRPr="007F0D93">
              <w:t>For example:  Stress management and reduction seminars.</w:t>
            </w:r>
          </w:p>
        </w:tc>
      </w:tr>
      <w:tr w:rsidR="002416A8" w:rsidTr="007F0D93">
        <w:trPr>
          <w:trHeight w:hRule="exact" w:val="2430"/>
        </w:trPr>
        <w:tc>
          <w:tcPr>
            <w:tcW w:w="2600" w:type="dxa"/>
            <w:tcBorders>
              <w:top w:val="single" w:sz="8" w:space="0" w:color="4F81BC"/>
              <w:bottom w:val="single" w:sz="8" w:space="0" w:color="4F81BC"/>
            </w:tcBorders>
            <w:shd w:val="clear" w:color="auto" w:fill="DBE5F1" w:themeFill="accent1" w:themeFillTint="33"/>
          </w:tcPr>
          <w:p w:rsidR="002416A8" w:rsidRDefault="002416A8">
            <w:pPr>
              <w:pStyle w:val="TableParagraph"/>
              <w:spacing w:before="1"/>
              <w:rPr>
                <w:b/>
              </w:rPr>
            </w:pPr>
          </w:p>
          <w:p w:rsidR="002416A8" w:rsidRDefault="002416A8">
            <w:pPr>
              <w:pStyle w:val="TableParagraph"/>
              <w:spacing w:before="1"/>
              <w:rPr>
                <w:b/>
              </w:rPr>
            </w:pPr>
            <w:r>
              <w:rPr>
                <w:b/>
              </w:rPr>
              <w:t>Self-study</w:t>
            </w:r>
          </w:p>
        </w:tc>
        <w:tc>
          <w:tcPr>
            <w:tcW w:w="7008" w:type="dxa"/>
            <w:tcBorders>
              <w:top w:val="single" w:sz="8" w:space="0" w:color="4F81BC"/>
              <w:bottom w:val="single" w:sz="8" w:space="0" w:color="4F81BC"/>
            </w:tcBorders>
            <w:shd w:val="clear" w:color="auto" w:fill="DBE5F1" w:themeFill="accent1" w:themeFillTint="33"/>
          </w:tcPr>
          <w:p w:rsidR="002416A8" w:rsidRDefault="002416A8">
            <w:pPr>
              <w:pStyle w:val="TableParagraph"/>
              <w:spacing w:before="1"/>
              <w:rPr>
                <w:b/>
              </w:rPr>
            </w:pPr>
          </w:p>
          <w:p w:rsidR="004F321F" w:rsidRPr="007F0D93" w:rsidRDefault="004F321F" w:rsidP="0020554A">
            <w:pPr>
              <w:pStyle w:val="BodyText2"/>
              <w:rPr>
                <w:b w:val="0"/>
              </w:rPr>
            </w:pPr>
            <w:r w:rsidRPr="007F0D93">
              <w:rPr>
                <w:b w:val="0"/>
              </w:rPr>
              <w:t xml:space="preserve">Self-study is recognized up to a maximum of four (4) hours per term if it includes; Completion of a formal learning package (pre-recordings, podcasts, DVDs or materials) or; On-line ‘real time’ activities or teleconferences where questions can be asked and answered; or; Online- activities if not in ‘real time’ if a test is included.   </w:t>
            </w:r>
          </w:p>
          <w:p w:rsidR="004F321F" w:rsidRPr="007F0D93" w:rsidRDefault="004F321F" w:rsidP="002416A8"/>
          <w:p w:rsidR="002416A8" w:rsidRPr="002416A8" w:rsidRDefault="00ED39FB" w:rsidP="007F0D93">
            <w:pPr>
              <w:pStyle w:val="ListParagraph"/>
            </w:pPr>
            <w:r w:rsidRPr="007F0D93">
              <w:t xml:space="preserve"> </w:t>
            </w:r>
            <w:r w:rsidR="004F321F" w:rsidRPr="007F0D93">
              <w:t>Self-Study is split into two subcategories, Unrestricted Self-study and Restricted self-study.</w:t>
            </w:r>
          </w:p>
        </w:tc>
      </w:tr>
      <w:tr w:rsidR="004356DC" w:rsidTr="007F0D93">
        <w:trPr>
          <w:trHeight w:hRule="exact" w:val="1415"/>
        </w:trPr>
        <w:tc>
          <w:tcPr>
            <w:tcW w:w="2600" w:type="dxa"/>
            <w:tcBorders>
              <w:top w:val="single" w:sz="8" w:space="0" w:color="4F81BC"/>
              <w:bottom w:val="single" w:sz="8" w:space="0" w:color="4F81BC"/>
            </w:tcBorders>
            <w:shd w:val="clear" w:color="auto" w:fill="FFFFFF" w:themeFill="background1"/>
          </w:tcPr>
          <w:p w:rsidR="004356DC" w:rsidRDefault="004356DC">
            <w:pPr>
              <w:pStyle w:val="TableParagraph"/>
              <w:spacing w:before="1"/>
              <w:rPr>
                <w:b/>
              </w:rPr>
            </w:pPr>
          </w:p>
          <w:p w:rsidR="004356DC" w:rsidRDefault="004356DC">
            <w:pPr>
              <w:pStyle w:val="TableParagraph"/>
              <w:spacing w:before="1"/>
              <w:rPr>
                <w:b/>
              </w:rPr>
            </w:pPr>
            <w:r>
              <w:rPr>
                <w:b/>
              </w:rPr>
              <w:t xml:space="preserve">Unrestricted Self Study </w:t>
            </w:r>
          </w:p>
        </w:tc>
        <w:tc>
          <w:tcPr>
            <w:tcW w:w="7008" w:type="dxa"/>
            <w:tcBorders>
              <w:top w:val="single" w:sz="8" w:space="0" w:color="4F81BC"/>
              <w:bottom w:val="single" w:sz="8" w:space="0" w:color="4F81BC"/>
            </w:tcBorders>
            <w:shd w:val="clear" w:color="auto" w:fill="FFFFFF" w:themeFill="background1"/>
          </w:tcPr>
          <w:p w:rsidR="004356DC" w:rsidRDefault="004356DC">
            <w:pPr>
              <w:pStyle w:val="TableParagraph"/>
              <w:spacing w:before="1"/>
              <w:rPr>
                <w:b/>
              </w:rPr>
            </w:pPr>
          </w:p>
          <w:p w:rsidR="004356DC" w:rsidRPr="007F0D93" w:rsidRDefault="004F321F">
            <w:pPr>
              <w:pStyle w:val="TableParagraph"/>
              <w:spacing w:before="1"/>
            </w:pPr>
            <w:r w:rsidRPr="007F0D93">
              <w:t>2 hours maximum, a</w:t>
            </w:r>
            <w:r w:rsidR="004356DC" w:rsidRPr="007F0D93">
              <w:t xml:space="preserve">n educational gain through one’s independent means. </w:t>
            </w:r>
          </w:p>
          <w:p w:rsidR="004356DC" w:rsidRPr="007F0D93" w:rsidRDefault="004356DC">
            <w:pPr>
              <w:pStyle w:val="TableParagraph"/>
              <w:spacing w:before="1"/>
            </w:pPr>
          </w:p>
          <w:p w:rsidR="004356DC" w:rsidRDefault="004356DC">
            <w:pPr>
              <w:pStyle w:val="TableParagraph"/>
              <w:spacing w:before="1"/>
              <w:rPr>
                <w:b/>
              </w:rPr>
            </w:pPr>
            <w:r w:rsidRPr="007F0D93">
              <w:t xml:space="preserve">For example: reading journals and informative publications or listening to a podcast related to the practice of law </w:t>
            </w:r>
          </w:p>
        </w:tc>
      </w:tr>
      <w:tr w:rsidR="004356DC" w:rsidTr="007F0D93">
        <w:trPr>
          <w:trHeight w:hRule="exact" w:val="2413"/>
        </w:trPr>
        <w:tc>
          <w:tcPr>
            <w:tcW w:w="2600" w:type="dxa"/>
            <w:tcBorders>
              <w:top w:val="single" w:sz="8" w:space="0" w:color="4F81BC"/>
              <w:bottom w:val="single" w:sz="8" w:space="0" w:color="4F81BC"/>
            </w:tcBorders>
            <w:shd w:val="clear" w:color="auto" w:fill="DBE5F1" w:themeFill="accent1" w:themeFillTint="33"/>
          </w:tcPr>
          <w:p w:rsidR="004356DC" w:rsidRDefault="004356DC">
            <w:pPr>
              <w:pStyle w:val="TableParagraph"/>
              <w:spacing w:before="1"/>
              <w:rPr>
                <w:b/>
              </w:rPr>
            </w:pPr>
          </w:p>
          <w:p w:rsidR="004356DC" w:rsidRDefault="004356DC">
            <w:pPr>
              <w:pStyle w:val="TableParagraph"/>
              <w:spacing w:before="1"/>
              <w:rPr>
                <w:b/>
              </w:rPr>
            </w:pPr>
            <w:r>
              <w:rPr>
                <w:b/>
              </w:rPr>
              <w:t xml:space="preserve">Restricted Self Study </w:t>
            </w:r>
          </w:p>
        </w:tc>
        <w:tc>
          <w:tcPr>
            <w:tcW w:w="7008" w:type="dxa"/>
            <w:tcBorders>
              <w:top w:val="single" w:sz="8" w:space="0" w:color="4F81BC"/>
              <w:bottom w:val="single" w:sz="8" w:space="0" w:color="4F81BC"/>
            </w:tcBorders>
            <w:shd w:val="clear" w:color="auto" w:fill="DBE5F1" w:themeFill="accent1" w:themeFillTint="33"/>
          </w:tcPr>
          <w:p w:rsidR="004356DC" w:rsidRPr="007F0D93" w:rsidRDefault="004356DC">
            <w:pPr>
              <w:pStyle w:val="TableParagraph"/>
              <w:spacing w:before="1"/>
            </w:pPr>
          </w:p>
          <w:p w:rsidR="004356DC" w:rsidRPr="007F0D93" w:rsidRDefault="004F321F">
            <w:pPr>
              <w:pStyle w:val="TableParagraph"/>
              <w:spacing w:before="1"/>
            </w:pPr>
            <w:r w:rsidRPr="007F0D93">
              <w:t>2 hours maximum, a</w:t>
            </w:r>
            <w:r w:rsidR="004356DC" w:rsidRPr="007F0D93">
              <w:t>n educational gain through one’s independent means by using material or programs specifically designed for professional development or legal education. Additional time under Restricted Self Study can also be claimed as Unrestricted Self Study.</w:t>
            </w:r>
          </w:p>
          <w:p w:rsidR="004356DC" w:rsidRPr="007F0D93" w:rsidRDefault="004356DC">
            <w:pPr>
              <w:pStyle w:val="TableParagraph"/>
              <w:spacing w:before="1"/>
            </w:pPr>
          </w:p>
          <w:p w:rsidR="004356DC" w:rsidRPr="007F0D93" w:rsidRDefault="004356DC">
            <w:pPr>
              <w:pStyle w:val="TableParagraph"/>
              <w:spacing w:before="1"/>
            </w:pPr>
            <w:r w:rsidRPr="007F0D93">
              <w:t>For example: Practicing in self-directed online programs or reviewing recorded seminars;</w:t>
            </w:r>
            <w:r w:rsidR="008E5AD0" w:rsidRPr="007F0D93">
              <w:t xml:space="preserve"> legal writing if the intended readers are not a specific client.</w:t>
            </w:r>
          </w:p>
          <w:p w:rsidR="004356DC" w:rsidRDefault="004356DC">
            <w:pPr>
              <w:pStyle w:val="TableParagraph"/>
              <w:spacing w:before="1"/>
              <w:rPr>
                <w:b/>
              </w:rPr>
            </w:pPr>
          </w:p>
        </w:tc>
      </w:tr>
      <w:tr w:rsidR="008E5AD0" w:rsidTr="007F0D93">
        <w:trPr>
          <w:trHeight w:hRule="exact" w:val="2405"/>
        </w:trPr>
        <w:tc>
          <w:tcPr>
            <w:tcW w:w="2600"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8E5AD0" w:rsidRDefault="008E5AD0">
            <w:pPr>
              <w:pStyle w:val="TableParagraph"/>
              <w:spacing w:before="1"/>
              <w:rPr>
                <w:b/>
              </w:rPr>
            </w:pPr>
            <w:r>
              <w:rPr>
                <w:b/>
              </w:rPr>
              <w:t xml:space="preserve">Group Study </w:t>
            </w:r>
          </w:p>
        </w:tc>
        <w:tc>
          <w:tcPr>
            <w:tcW w:w="7008"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8E5AD0" w:rsidRPr="007F0D93" w:rsidRDefault="008E5AD0">
            <w:pPr>
              <w:pStyle w:val="TableParagraph"/>
              <w:spacing w:before="1"/>
            </w:pPr>
            <w:r w:rsidRPr="007F0D93">
              <w:t>An educational activity where interaction and discussion is available to a group of participants.</w:t>
            </w:r>
          </w:p>
          <w:p w:rsidR="008E5AD0" w:rsidRPr="007F0D93" w:rsidRDefault="008E5AD0">
            <w:pPr>
              <w:pStyle w:val="TableParagraph"/>
              <w:spacing w:before="1"/>
            </w:pPr>
          </w:p>
          <w:p w:rsidR="008E5AD0" w:rsidRDefault="008E5AD0">
            <w:pPr>
              <w:pStyle w:val="TableParagraph"/>
              <w:spacing w:before="1"/>
              <w:rPr>
                <w:b/>
              </w:rPr>
            </w:pPr>
            <w:r w:rsidRPr="007F0D93">
              <w:t xml:space="preserve">For example: Participating in a program set in a classroom-like setting such as a conference, seminar or webinar or teleconference where questions can be asked and answered on real time; participating in a group discussion focused on the development and sharing of information on specific practice areas. </w:t>
            </w:r>
          </w:p>
        </w:tc>
      </w:tr>
      <w:tr w:rsidR="008E5AD0" w:rsidTr="007F0D93">
        <w:trPr>
          <w:trHeight w:hRule="exact" w:val="1266"/>
        </w:trPr>
        <w:tc>
          <w:tcPr>
            <w:tcW w:w="2600" w:type="dxa"/>
            <w:tcBorders>
              <w:top w:val="single" w:sz="8" w:space="0" w:color="4F81BC"/>
              <w:bottom w:val="single" w:sz="8" w:space="0" w:color="4F81BC"/>
            </w:tcBorders>
            <w:shd w:val="clear" w:color="auto" w:fill="DBE5F1" w:themeFill="accent1" w:themeFillTint="33"/>
          </w:tcPr>
          <w:p w:rsidR="008E5AD0" w:rsidRDefault="008E5AD0">
            <w:pPr>
              <w:pStyle w:val="TableParagraph"/>
              <w:spacing w:before="1"/>
              <w:rPr>
                <w:b/>
              </w:rPr>
            </w:pPr>
          </w:p>
          <w:p w:rsidR="008E5AD0" w:rsidRDefault="008E5AD0">
            <w:pPr>
              <w:pStyle w:val="TableParagraph"/>
              <w:spacing w:before="1"/>
              <w:rPr>
                <w:b/>
              </w:rPr>
            </w:pPr>
            <w:r>
              <w:rPr>
                <w:b/>
              </w:rPr>
              <w:t xml:space="preserve">Teaching of a course </w:t>
            </w:r>
          </w:p>
          <w:p w:rsidR="008E5AD0" w:rsidRDefault="008E5AD0">
            <w:pPr>
              <w:pStyle w:val="TableParagraph"/>
              <w:spacing w:before="1"/>
              <w:rPr>
                <w:b/>
              </w:rPr>
            </w:pPr>
          </w:p>
        </w:tc>
        <w:tc>
          <w:tcPr>
            <w:tcW w:w="7008" w:type="dxa"/>
            <w:tcBorders>
              <w:top w:val="single" w:sz="8" w:space="0" w:color="4F81BC"/>
              <w:bottom w:val="single" w:sz="8" w:space="0" w:color="4F81BC"/>
            </w:tcBorders>
            <w:shd w:val="clear" w:color="auto" w:fill="DBE5F1" w:themeFill="accent1" w:themeFillTint="33"/>
          </w:tcPr>
          <w:p w:rsidR="008E5AD0" w:rsidRDefault="008E5AD0">
            <w:pPr>
              <w:pStyle w:val="TableParagraph"/>
              <w:spacing w:before="1"/>
              <w:rPr>
                <w:b/>
              </w:rPr>
            </w:pPr>
          </w:p>
          <w:p w:rsidR="008E5AD0" w:rsidRPr="007F0D93" w:rsidRDefault="008E5AD0">
            <w:pPr>
              <w:pStyle w:val="TableParagraph"/>
              <w:spacing w:before="1"/>
            </w:pPr>
            <w:r w:rsidRPr="007F0D93">
              <w:t>Teaching a course related to law or the practice of law</w:t>
            </w:r>
            <w:r w:rsidR="003872F3" w:rsidRPr="007F0D93">
              <w:t xml:space="preserve">. A credit of three hours for every hour taught will be given if teaching is not done as a function of the member’s employment. </w:t>
            </w:r>
          </w:p>
        </w:tc>
      </w:tr>
      <w:tr w:rsidR="008E5AD0" w:rsidTr="008E5AD0">
        <w:trPr>
          <w:trHeight w:hRule="exact" w:val="1283"/>
        </w:trPr>
        <w:tc>
          <w:tcPr>
            <w:tcW w:w="2600"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8E5AD0" w:rsidRDefault="008E5AD0">
            <w:pPr>
              <w:pStyle w:val="TableParagraph"/>
              <w:spacing w:before="1"/>
              <w:rPr>
                <w:b/>
              </w:rPr>
            </w:pPr>
            <w:r>
              <w:rPr>
                <w:b/>
              </w:rPr>
              <w:t>Educational Training</w:t>
            </w:r>
          </w:p>
          <w:p w:rsidR="008E5AD0" w:rsidRDefault="008E5AD0">
            <w:pPr>
              <w:pStyle w:val="TableParagraph"/>
              <w:spacing w:before="1"/>
              <w:rPr>
                <w:b/>
              </w:rPr>
            </w:pPr>
          </w:p>
        </w:tc>
        <w:tc>
          <w:tcPr>
            <w:tcW w:w="7008"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8E5AD0" w:rsidRPr="007F0D93" w:rsidRDefault="008E5AD0">
            <w:pPr>
              <w:pStyle w:val="TableParagraph"/>
              <w:spacing w:before="1"/>
            </w:pPr>
            <w:r w:rsidRPr="007F0D93">
              <w:t xml:space="preserve">Participating in a training program provided by a law association or employer that does not otherwise qualify as a ‘Group Study’ and where questions can be asked and answered on real time. </w:t>
            </w: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p w:rsidR="008E5AD0" w:rsidRDefault="008E5AD0">
            <w:pPr>
              <w:pStyle w:val="TableParagraph"/>
              <w:spacing w:before="1"/>
              <w:rPr>
                <w:b/>
              </w:rPr>
            </w:pPr>
          </w:p>
        </w:tc>
      </w:tr>
      <w:tr w:rsidR="008E5AD0" w:rsidTr="007F0D93">
        <w:trPr>
          <w:trHeight w:hRule="exact" w:val="989"/>
        </w:trPr>
        <w:tc>
          <w:tcPr>
            <w:tcW w:w="2600" w:type="dxa"/>
            <w:tcBorders>
              <w:top w:val="single" w:sz="8" w:space="0" w:color="4F81BC"/>
              <w:bottom w:val="single" w:sz="8" w:space="0" w:color="4F81BC"/>
            </w:tcBorders>
            <w:shd w:val="clear" w:color="auto" w:fill="DBE5F1" w:themeFill="accent1" w:themeFillTint="33"/>
          </w:tcPr>
          <w:p w:rsidR="008E5AD0" w:rsidRDefault="008E5AD0">
            <w:pPr>
              <w:pStyle w:val="TableParagraph"/>
              <w:spacing w:before="1"/>
              <w:rPr>
                <w:b/>
              </w:rPr>
            </w:pPr>
          </w:p>
          <w:p w:rsidR="008E5AD0" w:rsidRDefault="008E5AD0">
            <w:pPr>
              <w:pStyle w:val="TableParagraph"/>
              <w:spacing w:before="1"/>
              <w:rPr>
                <w:b/>
              </w:rPr>
            </w:pPr>
            <w:r>
              <w:rPr>
                <w:b/>
              </w:rPr>
              <w:t xml:space="preserve">Nunavut Official Language Training </w:t>
            </w:r>
          </w:p>
        </w:tc>
        <w:tc>
          <w:tcPr>
            <w:tcW w:w="7008" w:type="dxa"/>
            <w:tcBorders>
              <w:top w:val="single" w:sz="8" w:space="0" w:color="4F81BC"/>
              <w:bottom w:val="single" w:sz="8" w:space="0" w:color="4F81BC"/>
            </w:tcBorders>
            <w:shd w:val="clear" w:color="auto" w:fill="DBE5F1" w:themeFill="accent1" w:themeFillTint="33"/>
          </w:tcPr>
          <w:p w:rsidR="008E5AD0" w:rsidRPr="007F0D93" w:rsidRDefault="008E5AD0">
            <w:pPr>
              <w:pStyle w:val="TableParagraph"/>
              <w:spacing w:before="1"/>
            </w:pPr>
          </w:p>
          <w:p w:rsidR="008E5AD0" w:rsidRPr="007F0D93" w:rsidRDefault="008E5AD0">
            <w:pPr>
              <w:pStyle w:val="TableParagraph"/>
              <w:spacing w:before="1"/>
            </w:pPr>
            <w:r w:rsidRPr="007F0D93">
              <w:t xml:space="preserve">Participating in a Nunavut Official Language training activity </w:t>
            </w:r>
          </w:p>
        </w:tc>
      </w:tr>
      <w:tr w:rsidR="008E5AD0" w:rsidTr="007F0D93">
        <w:trPr>
          <w:trHeight w:hRule="exact" w:val="1413"/>
        </w:trPr>
        <w:tc>
          <w:tcPr>
            <w:tcW w:w="2600"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1B13CA" w:rsidRDefault="009B6A8D">
            <w:pPr>
              <w:pStyle w:val="TableParagraph"/>
              <w:spacing w:before="1"/>
              <w:rPr>
                <w:b/>
              </w:rPr>
            </w:pPr>
            <w:r>
              <w:rPr>
                <w:b/>
              </w:rPr>
              <w:t xml:space="preserve">Legal research and writing for the </w:t>
            </w:r>
          </w:p>
          <w:p w:rsidR="001B13CA" w:rsidRDefault="009B6A8D">
            <w:pPr>
              <w:pStyle w:val="TableParagraph"/>
              <w:spacing w:before="1"/>
              <w:rPr>
                <w:b/>
              </w:rPr>
            </w:pPr>
            <w:r>
              <w:rPr>
                <w:b/>
              </w:rPr>
              <w:t xml:space="preserve">purpose of </w:t>
            </w:r>
          </w:p>
          <w:p w:rsidR="008E5AD0" w:rsidRDefault="009B6A8D" w:rsidP="001B13CA">
            <w:pPr>
              <w:pStyle w:val="TableParagraph"/>
              <w:spacing w:before="1"/>
              <w:rPr>
                <w:b/>
              </w:rPr>
            </w:pPr>
            <w:proofErr w:type="gramStart"/>
            <w:r>
              <w:rPr>
                <w:b/>
              </w:rPr>
              <w:t>publication</w:t>
            </w:r>
            <w:proofErr w:type="gramEnd"/>
            <w:r>
              <w:rPr>
                <w:b/>
              </w:rPr>
              <w:t>.</w:t>
            </w:r>
          </w:p>
        </w:tc>
        <w:tc>
          <w:tcPr>
            <w:tcW w:w="7008" w:type="dxa"/>
            <w:tcBorders>
              <w:top w:val="single" w:sz="8" w:space="0" w:color="4F81BC"/>
              <w:bottom w:val="single" w:sz="8" w:space="0" w:color="4F81BC"/>
            </w:tcBorders>
            <w:shd w:val="clear" w:color="auto" w:fill="FFFFFF" w:themeFill="background1"/>
          </w:tcPr>
          <w:p w:rsidR="008E5AD0" w:rsidRDefault="008E5AD0">
            <w:pPr>
              <w:pStyle w:val="TableParagraph"/>
              <w:spacing w:before="1"/>
              <w:rPr>
                <w:b/>
              </w:rPr>
            </w:pPr>
          </w:p>
          <w:p w:rsidR="008F7FD5" w:rsidRPr="007F0D93" w:rsidRDefault="003872F3">
            <w:pPr>
              <w:pStyle w:val="TableParagraph"/>
              <w:spacing w:before="1"/>
            </w:pPr>
            <w:r w:rsidRPr="007F0D93">
              <w:t xml:space="preserve">Content must be law-related in order to qualify for CPD hours. A Maximum of 4 hours will be given per term. </w:t>
            </w:r>
          </w:p>
          <w:p w:rsidR="003872F3" w:rsidRDefault="003872F3" w:rsidP="003872F3">
            <w:pPr>
              <w:pStyle w:val="TableParagraph"/>
              <w:spacing w:before="1"/>
              <w:rPr>
                <w:b/>
              </w:rPr>
            </w:pPr>
          </w:p>
        </w:tc>
      </w:tr>
    </w:tbl>
    <w:p w:rsidR="002E3D53" w:rsidRDefault="002E3D53" w:rsidP="007F0D93"/>
    <w:sectPr w:rsidR="002E3D53">
      <w:headerReference w:type="default" r:id="rId8"/>
      <w:pgSz w:w="12240" w:h="15840"/>
      <w:pgMar w:top="1440" w:right="11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7A" w:rsidRDefault="00707B7A" w:rsidP="00707B7A">
      <w:r>
        <w:separator/>
      </w:r>
    </w:p>
  </w:endnote>
  <w:endnote w:type="continuationSeparator" w:id="0">
    <w:p w:rsidR="00707B7A" w:rsidRDefault="00707B7A" w:rsidP="0070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7A" w:rsidRDefault="00707B7A" w:rsidP="00707B7A">
      <w:r>
        <w:separator/>
      </w:r>
    </w:p>
  </w:footnote>
  <w:footnote w:type="continuationSeparator" w:id="0">
    <w:p w:rsidR="00707B7A" w:rsidRDefault="00707B7A" w:rsidP="0070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7A" w:rsidRPr="00707B7A" w:rsidRDefault="00707B7A" w:rsidP="00707B7A">
    <w:pPr>
      <w:pStyle w:val="Header"/>
      <w:rPr>
        <w:lang w:val="en-CA"/>
      </w:rPr>
    </w:pPr>
    <w:r w:rsidRPr="00707B7A">
      <w:rPr>
        <w:lang w:val="en-CA"/>
      </w:rPr>
      <w:t>Presented to the Membership on November 7, 2016</w:t>
    </w:r>
  </w:p>
  <w:p w:rsidR="00707B7A" w:rsidRPr="00707B7A" w:rsidRDefault="00707B7A" w:rsidP="00707B7A">
    <w:pPr>
      <w:ind w:right="2588"/>
      <w:jc w:val="both"/>
    </w:pPr>
    <w:r w:rsidRPr="00707B7A">
      <w:t xml:space="preserve">Completed </w:t>
    </w:r>
    <w:r w:rsidRPr="00707B7A">
      <w:t xml:space="preserve">Draft </w:t>
    </w:r>
    <w:r w:rsidRPr="00707B7A">
      <w:t xml:space="preserve">in August 2016 </w:t>
    </w:r>
  </w:p>
  <w:p w:rsidR="00707B7A" w:rsidRPr="00707B7A" w:rsidRDefault="00707B7A">
    <w:pPr>
      <w:pStyle w:val="Header"/>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E2D59"/>
    <w:rsid w:val="001B13CA"/>
    <w:rsid w:val="0020554A"/>
    <w:rsid w:val="002416A8"/>
    <w:rsid w:val="00265FAA"/>
    <w:rsid w:val="002E3D53"/>
    <w:rsid w:val="003872F3"/>
    <w:rsid w:val="004356DC"/>
    <w:rsid w:val="004F321F"/>
    <w:rsid w:val="00707B7A"/>
    <w:rsid w:val="007E2D59"/>
    <w:rsid w:val="007F0D93"/>
    <w:rsid w:val="008450D5"/>
    <w:rsid w:val="008E5AD0"/>
    <w:rsid w:val="008F7FD5"/>
    <w:rsid w:val="009B6A8D"/>
    <w:rsid w:val="009F0E3F"/>
    <w:rsid w:val="00B12819"/>
    <w:rsid w:val="00ED39FB"/>
    <w:rsid w:val="00FC7B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50D5"/>
    <w:rPr>
      <w:rFonts w:ascii="Tahoma" w:hAnsi="Tahoma" w:cs="Tahoma"/>
      <w:sz w:val="16"/>
      <w:szCs w:val="16"/>
    </w:rPr>
  </w:style>
  <w:style w:type="character" w:customStyle="1" w:styleId="BalloonTextChar">
    <w:name w:val="Balloon Text Char"/>
    <w:basedOn w:val="DefaultParagraphFont"/>
    <w:link w:val="BalloonText"/>
    <w:uiPriority w:val="99"/>
    <w:semiHidden/>
    <w:rsid w:val="008450D5"/>
    <w:rPr>
      <w:rFonts w:ascii="Tahoma" w:eastAsia="Cambria" w:hAnsi="Tahoma" w:cs="Tahoma"/>
      <w:sz w:val="16"/>
      <w:szCs w:val="16"/>
    </w:rPr>
  </w:style>
  <w:style w:type="paragraph" w:styleId="BodyText2">
    <w:name w:val="Body Text 2"/>
    <w:basedOn w:val="Normal"/>
    <w:link w:val="BodyText2Char"/>
    <w:uiPriority w:val="99"/>
    <w:unhideWhenUsed/>
    <w:rsid w:val="0020554A"/>
    <w:rPr>
      <w:b/>
    </w:rPr>
  </w:style>
  <w:style w:type="character" w:customStyle="1" w:styleId="BodyText2Char">
    <w:name w:val="Body Text 2 Char"/>
    <w:basedOn w:val="DefaultParagraphFont"/>
    <w:link w:val="BodyText2"/>
    <w:uiPriority w:val="99"/>
    <w:rsid w:val="0020554A"/>
    <w:rPr>
      <w:rFonts w:ascii="Cambria" w:eastAsia="Cambria" w:hAnsi="Cambria" w:cs="Cambria"/>
      <w:b/>
    </w:rPr>
  </w:style>
  <w:style w:type="paragraph" w:styleId="Header">
    <w:name w:val="header"/>
    <w:basedOn w:val="Normal"/>
    <w:link w:val="HeaderChar"/>
    <w:uiPriority w:val="99"/>
    <w:unhideWhenUsed/>
    <w:rsid w:val="00707B7A"/>
    <w:pPr>
      <w:tabs>
        <w:tab w:val="center" w:pos="4680"/>
        <w:tab w:val="right" w:pos="9360"/>
      </w:tabs>
    </w:pPr>
  </w:style>
  <w:style w:type="character" w:customStyle="1" w:styleId="HeaderChar">
    <w:name w:val="Header Char"/>
    <w:basedOn w:val="DefaultParagraphFont"/>
    <w:link w:val="Header"/>
    <w:uiPriority w:val="99"/>
    <w:rsid w:val="00707B7A"/>
    <w:rPr>
      <w:rFonts w:ascii="Cambria" w:eastAsia="Cambria" w:hAnsi="Cambria" w:cs="Cambria"/>
    </w:rPr>
  </w:style>
  <w:style w:type="paragraph" w:styleId="Footer">
    <w:name w:val="footer"/>
    <w:basedOn w:val="Normal"/>
    <w:link w:val="FooterChar"/>
    <w:uiPriority w:val="99"/>
    <w:unhideWhenUsed/>
    <w:rsid w:val="00707B7A"/>
    <w:pPr>
      <w:tabs>
        <w:tab w:val="center" w:pos="4680"/>
        <w:tab w:val="right" w:pos="9360"/>
      </w:tabs>
    </w:pPr>
  </w:style>
  <w:style w:type="character" w:customStyle="1" w:styleId="FooterChar">
    <w:name w:val="Footer Char"/>
    <w:basedOn w:val="DefaultParagraphFont"/>
    <w:link w:val="Footer"/>
    <w:uiPriority w:val="99"/>
    <w:rsid w:val="00707B7A"/>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CEO</cp:lastModifiedBy>
  <cp:revision>3</cp:revision>
  <dcterms:created xsi:type="dcterms:W3CDTF">2016-07-20T17:25:00Z</dcterms:created>
  <dcterms:modified xsi:type="dcterms:W3CDTF">2016-11-07T18:27:00Z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2013-02-15T00:00:00Z</vt:filetime>
  </property>
  <property fmtid="{D5CDD505-2E9C-101B-9397-08002B2CF9AE}" pid="3" name="Creator">
    <vt:lpwstr>Microsoft® Word 2010</vt:lpwstr>
  </property>
  <property fmtid="{D5CDD505-2E9C-101B-9397-08002B2CF9AE}" pid="4" name="LastSaved">
    <vt:filetime>2016-07-12T00:00:00Z</vt:filetime>
  </property>
</Properties>
</file>